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207" w:rsidRDefault="00403BDF">
      <w:pPr>
        <w:ind w:left="72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6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2"/>
        <w:gridCol w:w="1960"/>
        <w:gridCol w:w="1175"/>
        <w:gridCol w:w="2048"/>
        <w:gridCol w:w="1774"/>
      </w:tblGrid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C531FC" w:rsidRPr="00C531FC" w:rsidRDefault="00C531FC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  <w:lang w:val="sr-Cyrl-CS"/>
              </w:rPr>
              <w:t xml:space="preserve">Студијски програм: Основне академске студије </w:t>
            </w:r>
            <w:r>
              <w:rPr>
                <w:b/>
                <w:lang w:val="sr-Cyrl-RS"/>
              </w:rPr>
              <w:t>Немачког језика и књижевности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ГРЧКИ ЈЕЗИК А2.1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Тамара Костић Пахноглу</w:t>
              </w:r>
            </w:hyperlink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Циљ предмета</w:t>
            </w:r>
            <w:bookmarkStart w:id="0" w:name="_GoBack"/>
            <w:bookmarkEnd w:id="0"/>
          </w:p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t>Студенти се оспособљавају за мало сложеније</w:t>
            </w:r>
            <w:r>
              <w:t xml:space="preserve"> видове комуникације у свакодневним и неким специфичним ситуацијама, упознају се са неким аспектима грчке културе и традиције.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  <w:jc w:val="both"/>
              <w:rPr>
                <w:color w:val="FF0000"/>
              </w:rPr>
            </w:pPr>
            <w:r>
              <w:rPr>
                <w:b/>
              </w:rPr>
              <w:t xml:space="preserve">Исход предмета </w:t>
            </w:r>
          </w:p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t>Студенти су оспособљени за мало сложеније видове комуникације у свакодневним и неким специфичним ситуацијама. Студенти стичу језичке вештине које одговарају нивоу А2.1.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Садржај предмета</w:t>
            </w:r>
          </w:p>
          <w:p w:rsidR="00BB0207" w:rsidRDefault="00403BDF">
            <w:pPr>
              <w:jc w:val="both"/>
            </w:pPr>
            <w:r>
              <w:t xml:space="preserve">Генитив именица, прилози за место; Аорист типа А, В1, В2; Прилози за </w:t>
            </w:r>
            <w:r>
              <w:t>време, акузатив личне заменице; Тренутни футур типа А, В1, В2; Индиректни говор – питања; Обнављање; Тренутни конјунктив типа А, В1, В2; Тренутни императив типа А, В1, В2; Придев за количину πολύς, πολλή, πολύ; Кондиционалне реченице А типа; Компарација пр</w:t>
            </w:r>
            <w:r>
              <w:t xml:space="preserve">идева и прилога; Именице женског рода на </w:t>
            </w:r>
            <w:r>
              <w:rPr>
                <w:i/>
              </w:rPr>
              <w:t>-η</w:t>
            </w:r>
            <w:r>
              <w:t xml:space="preserve"> са множином на </w:t>
            </w:r>
            <w:r>
              <w:rPr>
                <w:i/>
              </w:rPr>
              <w:t>-εις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Литература </w:t>
            </w:r>
          </w:p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t xml:space="preserve">Συλλογικό έργο, </w:t>
            </w:r>
            <w:r>
              <w:rPr>
                <w:i/>
              </w:rPr>
              <w:t xml:space="preserve">Ελληνικα Α` </w:t>
            </w:r>
            <w:r>
              <w:t>εκδόσεις Πατάκη, - уџбеник</w:t>
            </w:r>
          </w:p>
          <w:p w:rsidR="00BB0207" w:rsidRDefault="00403BDF">
            <w:pPr>
              <w:jc w:val="both"/>
            </w:pPr>
            <w:r>
              <w:t>Αρβανιτάκης, Κλεάνθης, Αρβανιτάκη, Φρόσω</w:t>
            </w:r>
            <w:r>
              <w:rPr>
                <w:i/>
              </w:rPr>
              <w:t xml:space="preserve"> Επικοινωνήστε ελληνικά 2,</w:t>
            </w:r>
            <w:r>
              <w:t xml:space="preserve"> Εκδόσεις Δέλτος, - уџбеник</w:t>
            </w:r>
          </w:p>
          <w:p w:rsidR="00BB0207" w:rsidRDefault="00403BDF">
            <w:pPr>
              <w:jc w:val="both"/>
            </w:pPr>
            <w:r>
              <w:t>Αρβανιτάκης, Κλεάνθης, Αρβανιτ</w:t>
            </w:r>
            <w:r>
              <w:t xml:space="preserve">άκη, Φρόσω, </w:t>
            </w:r>
            <w:r>
              <w:rPr>
                <w:i/>
              </w:rPr>
              <w:t>Επικοινωνήστε ελληνικά 2,</w:t>
            </w:r>
            <w:r>
              <w:t xml:space="preserve"> Εκδόσεις Δέλτος – рад. свеска</w:t>
            </w:r>
          </w:p>
          <w:p w:rsidR="00BB0207" w:rsidRDefault="00403BDF">
            <w:pPr>
              <w:jc w:val="both"/>
            </w:pPr>
            <w:r>
              <w:t xml:space="preserve">Мутавџић, Предраг, </w:t>
            </w:r>
            <w:r>
              <w:rPr>
                <w:i/>
              </w:rPr>
              <w:t xml:space="preserve">Граматика грчког језика, </w:t>
            </w:r>
            <w:r>
              <w:t>Јасен, Београд, 2007</w:t>
            </w:r>
          </w:p>
          <w:p w:rsidR="00BB0207" w:rsidRDefault="00403BDF">
            <w:pPr>
              <w:tabs>
                <w:tab w:val="left" w:pos="567"/>
              </w:tabs>
              <w:spacing w:after="60"/>
              <w:jc w:val="both"/>
            </w:pPr>
            <w:r>
              <w:t>Српско – грчки и грчко – српски речници</w:t>
            </w: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BB0207" w:rsidRDefault="00403BDF">
            <w:pPr>
              <w:jc w:val="both"/>
            </w:pPr>
            <w:r>
              <w:t>Монолошка настава, дијалошка настава, презентације, метода практичног рада, консултативна настава.</w:t>
            </w:r>
          </w:p>
        </w:tc>
      </w:tr>
      <w:tr w:rsidR="00BB020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3" w:type="dxa"/>
            <w:gridSpan w:val="2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3" w:type="dxa"/>
            <w:gridSpan w:val="2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</w:tr>
      <w:tr w:rsidR="00BB0207">
        <w:trPr>
          <w:trHeight w:val="227"/>
          <w:jc w:val="center"/>
        </w:trPr>
        <w:tc>
          <w:tcPr>
            <w:tcW w:w="2703" w:type="dxa"/>
            <w:vAlign w:val="center"/>
          </w:tcPr>
          <w:p w:rsidR="00BB0207" w:rsidRDefault="00403BDF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BB0207" w:rsidRDefault="00BB0207">
            <w:pPr>
              <w:tabs>
                <w:tab w:val="left" w:pos="567"/>
              </w:tabs>
              <w:spacing w:after="60"/>
            </w:pPr>
          </w:p>
        </w:tc>
      </w:tr>
    </w:tbl>
    <w:p w:rsidR="00BB0207" w:rsidRDefault="00BB0207">
      <w:pPr>
        <w:jc w:val="center"/>
      </w:pPr>
    </w:p>
    <w:sectPr w:rsidR="00BB0207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BDF" w:rsidRDefault="00403BDF">
      <w:r>
        <w:separator/>
      </w:r>
    </w:p>
  </w:endnote>
  <w:endnote w:type="continuationSeparator" w:id="0">
    <w:p w:rsidR="00403BDF" w:rsidRDefault="0040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07" w:rsidRDefault="00403B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BDF" w:rsidRDefault="00403BDF">
      <w:r>
        <w:separator/>
      </w:r>
    </w:p>
  </w:footnote>
  <w:footnote w:type="continuationSeparator" w:id="0">
    <w:p w:rsidR="00403BDF" w:rsidRDefault="00403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07" w:rsidRDefault="00403B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BB020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BB0207" w:rsidRDefault="00403B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BB0207" w:rsidRDefault="00403B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BB0207" w:rsidRDefault="00403B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BB0207" w:rsidRDefault="00403B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B020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BB0207" w:rsidRDefault="00BB02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BB0207" w:rsidRDefault="00403B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BB0207" w:rsidRDefault="00BB02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B020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BB0207" w:rsidRDefault="00BB02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BB0207" w:rsidRPr="00C531FC" w:rsidRDefault="00C531F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BB0207" w:rsidRDefault="00BB020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BB0207" w:rsidRDefault="00403B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207"/>
    <w:rsid w:val="00403BDF"/>
    <w:rsid w:val="00BB0207"/>
    <w:rsid w:val="00C5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C390E"/>
  <w15:docId w15:val="{7DEE26FA-380C-4FFA-9A35-31C903D4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31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1FC"/>
  </w:style>
  <w:style w:type="paragraph" w:styleId="Footer">
    <w:name w:val="footer"/>
    <w:basedOn w:val="Normal"/>
    <w:link w:val="FooterChar"/>
    <w:uiPriority w:val="99"/>
    <w:unhideWhenUsed/>
    <w:rsid w:val="00C531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Tamara%20Kostic%20Pahnoglu%20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2024-09-11T07:11:00Z</dcterms:created>
  <dcterms:modified xsi:type="dcterms:W3CDTF">2024-09-11T07:12:00Z</dcterms:modified>
</cp:coreProperties>
</file>